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888"/>
        <w:gridCol w:w="792"/>
        <w:gridCol w:w="825"/>
        <w:gridCol w:w="1879"/>
        <w:gridCol w:w="1573"/>
        <w:gridCol w:w="1386"/>
        <w:gridCol w:w="10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00" w:lineRule="exact"/>
              <w:ind w:firstLine="463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8"/>
                <w:szCs w:val="48"/>
              </w:rPr>
              <w:t>公开招聘岗位信息表（30人）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招聘对象</w:t>
            </w: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水务管理监察岗</w:t>
            </w:r>
          </w:p>
        </w:tc>
        <w:tc>
          <w:tcPr>
            <w:tcW w:w="4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1、负责水利设备及自动化管理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2、负责防汛防旱管理；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3、负责水利水闸管理；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4、负责水政监察。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水利工程类、机电控制类，环境科学、环境科学与工程、环境工程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35周岁以下（1983年1月1日以后出生）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环境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监察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岗</w:t>
            </w:r>
          </w:p>
        </w:tc>
        <w:tc>
          <w:tcPr>
            <w:tcW w:w="4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环境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监察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、负责信访举报办理；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、负责环境突发事件应急处置。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环境保护类，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化学工程类，医药化工类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35周岁以下（1983年1月1日以后出生）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陈颖</cp:lastModifiedBy>
  <dcterms:modified xsi:type="dcterms:W3CDTF">2018-03-30T01:19:10Z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