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南通市妇幼保健院2017年公开招聘工作人员（编外）岗位简介表</w:t>
      </w:r>
    </w:p>
    <w:tbl>
      <w:tblPr>
        <w:tblStyle w:val="3"/>
        <w:tblW w:w="1381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944"/>
        <w:gridCol w:w="889"/>
        <w:gridCol w:w="729"/>
        <w:gridCol w:w="809"/>
        <w:gridCol w:w="2539"/>
        <w:gridCol w:w="840"/>
        <w:gridCol w:w="495"/>
        <w:gridCol w:w="1020"/>
        <w:gridCol w:w="5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253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对象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507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产科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妇产科学、临床医学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全日制普通高校毕业，本科须为全日制普通高校妇产科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临床医学专业或本硕连读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妇科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妇产科学、临床医学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全日制普通高校毕业，本科须为全日制普通高校妇产科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临床医学专业或本硕连读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生殖助孕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生殖医学、妇产科学或临床医学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全日制普通高校毕业，</w:t>
            </w:r>
            <w:r>
              <w:rPr>
                <w:rFonts w:hint="eastAsia"/>
                <w:color w:val="000000"/>
                <w:sz w:val="18"/>
                <w:szCs w:val="18"/>
              </w:rPr>
              <w:t>本科须为全日制普通高校毕业的</w:t>
            </w:r>
            <w:r>
              <w:rPr>
                <w:rFonts w:hint="eastAsia"/>
                <w:sz w:val="18"/>
                <w:szCs w:val="18"/>
              </w:rPr>
              <w:t>妇产科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临床医学专业</w:t>
            </w:r>
            <w:r>
              <w:rPr>
                <w:rFonts w:hint="eastAsia"/>
                <w:color w:val="000000"/>
                <w:sz w:val="18"/>
                <w:szCs w:val="18"/>
              </w:rPr>
              <w:t>或本硕连读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非应届须具有执业医师资格，三级医院从事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妇产科、生殖医学工作经历，能熟练掌握腹腔镜手术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内科学（心血管病）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全日制普通高校毕业，本科须为全日制普通高校毕业的临床医学专业或本硕连读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群保科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儿少卫生与妇幼保健学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公共卫生与预防医学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青春期</w:t>
            </w:r>
          </w:p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儿科学（内分泌方向）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全日制普通高校毕业，本科须为全日制普通高校毕业的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儿科、</w:t>
            </w:r>
            <w:r>
              <w:rPr>
                <w:rFonts w:hint="eastAsia"/>
                <w:color w:val="000000"/>
                <w:sz w:val="18"/>
                <w:szCs w:val="18"/>
              </w:rPr>
              <w:t>临床医学专业或本硕连读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遗传与生殖医学研究所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</w:t>
            </w:r>
          </w:p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实习员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生物化学与分子生物学、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免疫学、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细胞生物学或微生物学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、生物学、人体解剖与组织胚胎学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届（含）前毕业生须具有初级专业技术资格、实验室工作经历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药事科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药</w:t>
            </w:r>
            <w:r>
              <w:rPr>
                <w:rFonts w:hint="eastAsia"/>
                <w:color w:val="000000"/>
                <w:sz w:val="18"/>
                <w:szCs w:val="18"/>
              </w:rPr>
              <w:t>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临床药学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全日制普通高校毕业，本科须为全日制普通高校毕业的药学专业或本硕连读。非应届须具有药师资格、二级及以上医院药事科工作经历。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口腔与眼耳鼻喉保健科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公共卫生与预防医学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拟从事新生儿耳聋筛查工作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行政科室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研究实习员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社会医学与卫生事业管理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儿科学、临床医学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全日制普通高校毕业，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研究生学历的</w:t>
            </w:r>
            <w:r>
              <w:rPr>
                <w:rFonts w:hint="eastAsia"/>
                <w:color w:val="000000"/>
                <w:sz w:val="18"/>
                <w:szCs w:val="18"/>
              </w:rPr>
              <w:t>本科须为全日制普通高校毕业的临床医学、儿科学专业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/>
                <w:color w:val="000000"/>
                <w:sz w:val="18"/>
                <w:szCs w:val="18"/>
              </w:rPr>
              <w:t>本硕连读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非应届须具有执业医师资格，三级医院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儿科工作满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病理学与病理生理学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、临床医学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研究生学历的</w:t>
            </w:r>
            <w:r>
              <w:rPr>
                <w:rFonts w:hint="eastAsia"/>
                <w:color w:val="000000"/>
                <w:sz w:val="18"/>
                <w:szCs w:val="18"/>
              </w:rPr>
              <w:t>本科须为全日制普通高校毕业的临床医学专业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hint="eastAsia"/>
                <w:color w:val="000000"/>
                <w:sz w:val="18"/>
                <w:szCs w:val="18"/>
              </w:rPr>
              <w:t>本硕连读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非应届须具有执业医师资格、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三级</w:t>
            </w:r>
            <w:r>
              <w:rPr>
                <w:rFonts w:hint="eastAsia"/>
                <w:color w:val="000000"/>
                <w:sz w:val="18"/>
                <w:szCs w:val="18"/>
              </w:rPr>
              <w:t>医院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病理诊断</w:t>
            </w:r>
            <w:r>
              <w:rPr>
                <w:rFonts w:hint="eastAsia"/>
                <w:color w:val="000000"/>
                <w:sz w:val="18"/>
                <w:szCs w:val="18"/>
              </w:rPr>
              <w:t>工作满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color w:val="000000"/>
                <w:sz w:val="18"/>
                <w:szCs w:val="18"/>
              </w:rPr>
              <w:t>毕业，201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届（含）前毕业生须具有执业医师资格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，三级</w:t>
            </w:r>
            <w:r>
              <w:rPr>
                <w:rFonts w:hint="eastAsia"/>
                <w:color w:val="000000"/>
                <w:sz w:val="18"/>
                <w:szCs w:val="18"/>
              </w:rPr>
              <w:t>医院内科工作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二级医师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执业医</w:t>
            </w:r>
            <w:r>
              <w:rPr>
                <w:rFonts w:hint="eastAsia"/>
                <w:color w:val="000000"/>
                <w:sz w:val="18"/>
                <w:szCs w:val="18"/>
              </w:rPr>
              <w:t>师资格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，三级</w:t>
            </w:r>
            <w:r>
              <w:rPr>
                <w:rFonts w:hint="eastAsia"/>
                <w:color w:val="000000"/>
                <w:sz w:val="18"/>
                <w:szCs w:val="18"/>
              </w:rPr>
              <w:t>医院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影像诊断</w:t>
            </w: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药事科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药</w:t>
            </w:r>
            <w:r>
              <w:rPr>
                <w:rFonts w:hint="eastAsia"/>
                <w:color w:val="000000"/>
                <w:sz w:val="18"/>
                <w:szCs w:val="18"/>
              </w:rPr>
              <w:t>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须具有药师资格、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三级</w:t>
            </w:r>
            <w:r>
              <w:rPr>
                <w:rFonts w:hint="eastAsia"/>
                <w:color w:val="000000"/>
                <w:sz w:val="18"/>
                <w:szCs w:val="18"/>
              </w:rPr>
              <w:t>医院药事科工作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满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药</w:t>
            </w:r>
            <w:r>
              <w:rPr>
                <w:rFonts w:hint="eastAsia"/>
                <w:color w:val="000000"/>
                <w:sz w:val="18"/>
                <w:szCs w:val="18"/>
              </w:rPr>
              <w:t>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中药学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全日制普通高校毕业，201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中药</w:t>
            </w:r>
            <w:r>
              <w:rPr>
                <w:rFonts w:hint="eastAsia"/>
                <w:color w:val="000000"/>
                <w:sz w:val="18"/>
                <w:szCs w:val="18"/>
              </w:rPr>
              <w:t>师资格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二甲及以上医院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中药专业</w:t>
            </w:r>
            <w:r>
              <w:rPr>
                <w:rFonts w:hint="eastAsia"/>
                <w:color w:val="000000"/>
                <w:sz w:val="18"/>
                <w:szCs w:val="18"/>
              </w:rPr>
              <w:t>工作满3年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护士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十三级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5073" w:type="dxa"/>
            <w:vMerge w:val="restart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应届生须为全日制普通高校毕业。非应届须具有护士执业资格，三级医院护理工作经历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助产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073" w:type="dxa"/>
            <w:vMerge w:val="continue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信息科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</w:t>
            </w:r>
          </w:p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基建科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十级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须具有工程师专业技术资格、建设工程造价员资格，从事工程建设工作满5年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后勤一站式服务中心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</w:t>
            </w:r>
          </w:p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电气工程及其自动化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</w:t>
            </w:r>
            <w:r>
              <w:rPr>
                <w:rFonts w:hint="eastAsia"/>
                <w:color w:val="000000"/>
                <w:sz w:val="18"/>
                <w:szCs w:val="18"/>
              </w:rPr>
              <w:t>工程师专业技术资格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，电气设备检修维护工作经历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</w:t>
            </w:r>
          </w:p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生物医学工程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全日制普通高校毕业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助理</w:t>
            </w:r>
            <w:r>
              <w:rPr>
                <w:rFonts w:hint="eastAsia"/>
                <w:color w:val="000000"/>
                <w:sz w:val="18"/>
                <w:szCs w:val="18"/>
              </w:rPr>
              <w:t>工程师专业技术资格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，医疗设备维修</w:t>
            </w: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4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儿童康复科</w:t>
            </w:r>
          </w:p>
        </w:tc>
        <w:tc>
          <w:tcPr>
            <w:tcW w:w="88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二级技师</w:t>
            </w:r>
          </w:p>
        </w:tc>
        <w:tc>
          <w:tcPr>
            <w:tcW w:w="72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80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十二级</w:t>
            </w:r>
          </w:p>
        </w:tc>
        <w:tc>
          <w:tcPr>
            <w:tcW w:w="2539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康复治疗学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非应届</w:t>
            </w:r>
          </w:p>
        </w:tc>
        <w:tc>
          <w:tcPr>
            <w:tcW w:w="495" w:type="dxa"/>
            <w:vAlign w:val="center"/>
          </w:tcPr>
          <w:p>
            <w:pPr>
              <w:spacing w:line="200" w:lineRule="exact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5073" w:type="dxa"/>
            <w:vAlign w:val="center"/>
          </w:tcPr>
          <w:p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全日制普通高校毕业，</w:t>
            </w: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届（含）前毕业生须具有技师资格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，三级</w:t>
            </w:r>
            <w:r>
              <w:rPr>
                <w:rFonts w:hint="eastAsia"/>
                <w:color w:val="000000"/>
                <w:sz w:val="18"/>
                <w:szCs w:val="18"/>
              </w:rPr>
              <w:t>医院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儿童康复</w:t>
            </w: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经历</w:t>
            </w:r>
          </w:p>
        </w:tc>
      </w:tr>
    </w:tbl>
    <w:p/>
    <w:sectPr>
      <w:pgSz w:w="16838" w:h="11906" w:orient="landscape"/>
      <w:pgMar w:top="1123" w:right="1100" w:bottom="1123" w:left="138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6D59"/>
    <w:rsid w:val="01585034"/>
    <w:rsid w:val="1E2C6D59"/>
    <w:rsid w:val="25AE1DF6"/>
    <w:rsid w:val="27CD1378"/>
    <w:rsid w:val="2D2A6DC4"/>
    <w:rsid w:val="2EDE2790"/>
    <w:rsid w:val="4B453F4F"/>
    <w:rsid w:val="4C622916"/>
    <w:rsid w:val="525037D2"/>
    <w:rsid w:val="54DF2EC3"/>
    <w:rsid w:val="5601518F"/>
    <w:rsid w:val="61530A94"/>
    <w:rsid w:val="7C6905F8"/>
    <w:rsid w:val="7F2C3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2017-06-30T23:58:00Z</dcterms:created>
  <dc:creator>Administrator</dc:creator>
  <cp:lastModifiedBy>Administrator</cp:lastModifiedBy>
  <cp:lastPrinted>2017-07-01T01:07:00Z</cp:lastPrinted>
  <dcterms:modified xsi:type="dcterms:W3CDTF">2017-07-06T01:15:31Z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